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8C5" w:rsidRDefault="000158C5">
      <w:pPr>
        <w:ind w:left="0" w:firstLine="0"/>
        <w:jc w:val="center"/>
        <w:rPr>
          <w:rFonts w:ascii="標楷體" w:eastAsia="標楷體" w:hAnsi="標楷體" w:cstheme="minorBidi"/>
          <w:b/>
          <w:bCs/>
          <w:color w:val="000000"/>
          <w:sz w:val="32"/>
          <w:szCs w:val="32"/>
        </w:rPr>
      </w:pPr>
      <w:bookmarkStart w:id="0" w:name="_GoBack"/>
      <w:r>
        <w:rPr>
          <w:rFonts w:eastAsia="標楷體" w:cs="標楷體" w:hint="eastAsia"/>
          <w:b/>
          <w:bCs/>
          <w:sz w:val="32"/>
          <w:szCs w:val="32"/>
        </w:rPr>
        <w:t>屏東縣</w:t>
      </w:r>
      <w:r>
        <w:rPr>
          <w:rFonts w:ascii="標楷體" w:eastAsia="標楷體" w:hAnsi="標楷體" w:cs="標楷體" w:hint="eastAsia"/>
          <w:b/>
          <w:bCs/>
          <w:color w:val="000000"/>
          <w:sz w:val="32"/>
          <w:szCs w:val="32"/>
        </w:rPr>
        <w:t>國民小學及國民中學學生成績評量準則補充規定</w:t>
      </w:r>
    </w:p>
    <w:bookmarkEnd w:id="0"/>
    <w:p w:rsidR="000158C5" w:rsidRDefault="000158C5">
      <w:pPr>
        <w:jc w:val="right"/>
        <w:rPr>
          <w:rFonts w:ascii="標楷體" w:eastAsia="標楷體" w:hAnsi="標楷體" w:cstheme="minorBidi"/>
          <w:sz w:val="20"/>
          <w:szCs w:val="20"/>
        </w:rPr>
      </w:pPr>
      <w:r>
        <w:rPr>
          <w:rFonts w:eastAsia="標楷體" w:cs="標楷體" w:hint="eastAsia"/>
          <w:sz w:val="20"/>
          <w:szCs w:val="20"/>
        </w:rPr>
        <w:t>一</w:t>
      </w:r>
      <w:r w:rsidR="004D1404">
        <w:rPr>
          <w:rFonts w:eastAsia="標楷體"/>
          <w:sz w:val="20"/>
          <w:szCs w:val="20"/>
        </w:rPr>
        <w:t>O</w:t>
      </w:r>
      <w:r>
        <w:rPr>
          <w:rFonts w:eastAsia="標楷體" w:cs="標楷體" w:hint="eastAsia"/>
          <w:sz w:val="20"/>
          <w:szCs w:val="20"/>
        </w:rPr>
        <w:t>一年八月七日</w:t>
      </w:r>
      <w:r>
        <w:rPr>
          <w:rFonts w:ascii="標楷體" w:eastAsia="標楷體" w:hAnsi="標楷體" w:cs="標楷體" w:hint="eastAsia"/>
          <w:sz w:val="20"/>
          <w:szCs w:val="20"/>
        </w:rPr>
        <w:t>屏府教學字第一</w:t>
      </w:r>
      <w:r w:rsidR="004D1404">
        <w:rPr>
          <w:rFonts w:eastAsia="標楷體"/>
          <w:sz w:val="20"/>
          <w:szCs w:val="20"/>
        </w:rPr>
        <w:t>O</w:t>
      </w:r>
      <w:r>
        <w:rPr>
          <w:rFonts w:ascii="標楷體" w:eastAsia="標楷體" w:hAnsi="標楷體" w:cs="標楷體" w:hint="eastAsia"/>
          <w:sz w:val="20"/>
          <w:szCs w:val="20"/>
        </w:rPr>
        <w:t>一二三七二五六</w:t>
      </w:r>
      <w:r w:rsidR="004D1404">
        <w:rPr>
          <w:rFonts w:eastAsia="標楷體"/>
          <w:sz w:val="20"/>
          <w:szCs w:val="20"/>
        </w:rPr>
        <w:t>OO</w:t>
      </w:r>
      <w:r>
        <w:rPr>
          <w:rFonts w:ascii="標楷體" w:eastAsia="標楷體" w:hAnsi="標楷體" w:cs="標楷體" w:hint="eastAsia"/>
          <w:sz w:val="20"/>
          <w:szCs w:val="20"/>
        </w:rPr>
        <w:t>號函</w:t>
      </w:r>
    </w:p>
    <w:p w:rsidR="000158C5" w:rsidRDefault="000158C5">
      <w:pPr>
        <w:wordWrap w:val="0"/>
        <w:jc w:val="right"/>
        <w:rPr>
          <w:rFonts w:ascii="標楷體" w:eastAsia="標楷體" w:hAnsi="標楷體" w:cstheme="minorBidi"/>
          <w:b/>
          <w:bCs/>
          <w:color w:val="000000"/>
          <w:sz w:val="32"/>
          <w:szCs w:val="32"/>
        </w:rPr>
      </w:pPr>
      <w:r>
        <w:rPr>
          <w:rFonts w:eastAsia="標楷體" w:cs="標楷體" w:hint="eastAsia"/>
          <w:sz w:val="20"/>
          <w:szCs w:val="20"/>
        </w:rPr>
        <w:t>屏府教學字第一</w:t>
      </w:r>
      <w:r w:rsidR="004D1404">
        <w:rPr>
          <w:rFonts w:eastAsia="標楷體"/>
          <w:sz w:val="20"/>
          <w:szCs w:val="20"/>
        </w:rPr>
        <w:t>O</w:t>
      </w:r>
      <w:r>
        <w:rPr>
          <w:rFonts w:eastAsia="標楷體" w:cs="標楷體" w:hint="eastAsia"/>
          <w:sz w:val="20"/>
          <w:szCs w:val="20"/>
        </w:rPr>
        <w:t>四</w:t>
      </w:r>
      <w:r w:rsidR="004D1404">
        <w:rPr>
          <w:rFonts w:eastAsia="標楷體"/>
          <w:sz w:val="20"/>
          <w:szCs w:val="20"/>
        </w:rPr>
        <w:t>O</w:t>
      </w:r>
      <w:r w:rsidR="004D1404">
        <w:rPr>
          <w:rFonts w:eastAsia="標楷體" w:hint="eastAsia"/>
          <w:sz w:val="20"/>
          <w:szCs w:val="20"/>
        </w:rPr>
        <w:t>二五五</w:t>
      </w:r>
      <w:r w:rsidR="004D1404">
        <w:rPr>
          <w:rFonts w:eastAsia="標楷體"/>
          <w:sz w:val="20"/>
          <w:szCs w:val="20"/>
        </w:rPr>
        <w:t>O</w:t>
      </w:r>
      <w:r w:rsidR="004D1404">
        <w:rPr>
          <w:rFonts w:eastAsia="標楷體" w:hint="eastAsia"/>
          <w:sz w:val="20"/>
          <w:szCs w:val="20"/>
        </w:rPr>
        <w:t>七</w:t>
      </w:r>
      <w:r w:rsidR="004D1404">
        <w:rPr>
          <w:rFonts w:eastAsia="標楷體"/>
          <w:sz w:val="20"/>
          <w:szCs w:val="20"/>
        </w:rPr>
        <w:t>OO</w:t>
      </w:r>
      <w:r>
        <w:rPr>
          <w:rFonts w:eastAsia="標楷體" w:cs="標楷體" w:hint="eastAsia"/>
          <w:sz w:val="20"/>
          <w:szCs w:val="20"/>
        </w:rPr>
        <w:t>號函修正第一條、第二條、第四條、第五條、第六條、第七條、第十條</w:t>
      </w:r>
    </w:p>
    <w:p w:rsidR="000158C5" w:rsidRPr="006E1A94" w:rsidRDefault="000158C5">
      <w:pPr>
        <w:pStyle w:val="a3"/>
        <w:numPr>
          <w:ilvl w:val="0"/>
          <w:numId w:val="1"/>
        </w:numPr>
        <w:spacing w:line="480" w:lineRule="exact"/>
        <w:ind w:leftChars="0" w:left="480" w:hangingChars="200" w:hanging="480"/>
        <w:rPr>
          <w:rFonts w:ascii="標楷體" w:eastAsia="標楷體" w:hAnsi="標楷體" w:cstheme="minorBidi"/>
          <w:b/>
        </w:rPr>
      </w:pPr>
      <w:r w:rsidRPr="006E1A94">
        <w:rPr>
          <w:rFonts w:eastAsia="標楷體" w:cs="標楷體" w:hint="eastAsia"/>
          <w:b/>
        </w:rPr>
        <w:t>本補充規定依據</w:t>
      </w:r>
      <w:r w:rsidRPr="006E1A94">
        <w:rPr>
          <w:rFonts w:ascii="標楷體" w:eastAsia="標楷體" w:hAnsi="標楷體" w:cs="標楷體" w:hint="eastAsia"/>
          <w:b/>
        </w:rPr>
        <w:t>國民教育法第十三條第一項規定訂定之。</w:t>
      </w:r>
    </w:p>
    <w:p w:rsidR="000158C5" w:rsidRPr="006E1A94" w:rsidRDefault="000158C5">
      <w:pPr>
        <w:pStyle w:val="a3"/>
        <w:numPr>
          <w:ilvl w:val="0"/>
          <w:numId w:val="1"/>
        </w:numPr>
        <w:spacing w:line="480" w:lineRule="exact"/>
        <w:ind w:leftChars="0" w:left="480" w:hangingChars="200" w:hanging="480"/>
        <w:rPr>
          <w:rFonts w:cstheme="minorBidi"/>
          <w:b/>
        </w:rPr>
      </w:pPr>
      <w:r w:rsidRPr="006E1A94">
        <w:rPr>
          <w:rFonts w:eastAsia="標楷體" w:cs="標楷體" w:hint="eastAsia"/>
          <w:b/>
          <w:kern w:val="0"/>
        </w:rPr>
        <w:t>國民中小學各校應組成課程發展委員會，處理學生成績評量相關事宜，其組織及任務由本府訂定之。</w:t>
      </w:r>
    </w:p>
    <w:p w:rsidR="000158C5" w:rsidRPr="006E1A94" w:rsidRDefault="000158C5">
      <w:pPr>
        <w:pStyle w:val="a3"/>
        <w:numPr>
          <w:ilvl w:val="0"/>
          <w:numId w:val="1"/>
        </w:numPr>
        <w:spacing w:line="480" w:lineRule="exact"/>
        <w:ind w:leftChars="0" w:left="480" w:hangingChars="200" w:hanging="480"/>
        <w:rPr>
          <w:rFonts w:cstheme="minorBidi"/>
          <w:b/>
        </w:rPr>
      </w:pPr>
      <w:r w:rsidRPr="006E1A94">
        <w:rPr>
          <w:rFonts w:eastAsia="標楷體" w:cs="標楷體" w:hint="eastAsia"/>
          <w:b/>
        </w:rPr>
        <w:t>國</w:t>
      </w:r>
      <w:r w:rsidRPr="006E1A94">
        <w:rPr>
          <w:rFonts w:eastAsia="標楷體" w:cs="標楷體" w:hint="eastAsia"/>
          <w:b/>
          <w:kern w:val="0"/>
        </w:rPr>
        <w:t>民中小學學生成績評量，應依學習領域及日常生活表現，分別評量之；同時應本適性化、多元化之原則，兼顧形成性評量及總結性評量，必要時應實施診斷性評量及安置性評量。</w:t>
      </w:r>
    </w:p>
    <w:p w:rsidR="000158C5" w:rsidRPr="006E1A94" w:rsidRDefault="000158C5">
      <w:pPr>
        <w:pStyle w:val="a3"/>
        <w:numPr>
          <w:ilvl w:val="0"/>
          <w:numId w:val="1"/>
        </w:numPr>
        <w:spacing w:line="480" w:lineRule="exact"/>
        <w:ind w:leftChars="0" w:left="480" w:hangingChars="200" w:hanging="480"/>
        <w:rPr>
          <w:rFonts w:cstheme="minorBidi"/>
          <w:b/>
        </w:rPr>
      </w:pPr>
      <w:r w:rsidRPr="006E1A94">
        <w:rPr>
          <w:rFonts w:eastAsia="標楷體" w:cs="標楷體" w:hint="eastAsia"/>
          <w:b/>
          <w:kern w:val="0"/>
        </w:rPr>
        <w:t>國民中小學學生成績評量，分定期評量及平時評量，定期評量每學期至多三次，</w:t>
      </w:r>
      <w:r w:rsidRPr="006E1A94">
        <w:rPr>
          <w:rFonts w:ascii="標楷體" w:eastAsia="標楷體" w:hAnsi="標楷體" w:cs="標楷體" w:hint="eastAsia"/>
          <w:b/>
          <w:bCs/>
        </w:rPr>
        <w:t>六年級下學期及九年級下學期以兩次為原則，</w:t>
      </w:r>
      <w:r w:rsidRPr="006E1A94">
        <w:rPr>
          <w:rFonts w:eastAsia="標楷體" w:cs="標楷體" w:hint="eastAsia"/>
          <w:b/>
          <w:bCs/>
          <w:kern w:val="0"/>
        </w:rPr>
        <w:t>另定期評量亦應不限紙筆測驗，</w:t>
      </w:r>
      <w:r w:rsidRPr="006E1A94">
        <w:rPr>
          <w:rFonts w:ascii="標楷體" w:eastAsia="標楷體" w:hAnsi="標楷體" w:cs="標楷體" w:hint="eastAsia"/>
          <w:b/>
          <w:bCs/>
        </w:rPr>
        <w:t>各學習領</w:t>
      </w:r>
      <w:r w:rsidRPr="006E1A94">
        <w:rPr>
          <w:rFonts w:eastAsia="標楷體" w:cs="標楷體" w:hint="eastAsia"/>
          <w:b/>
          <w:bCs/>
          <w:kern w:val="0"/>
        </w:rPr>
        <w:t>域學期評量成績定期評量佔百分之四十及平時評量佔百分之六十，並由授課教師評量，且須於每學期初向學生及家長說明評量計畫。</w:t>
      </w:r>
    </w:p>
    <w:p w:rsidR="000158C5" w:rsidRPr="006E1A94" w:rsidRDefault="000158C5">
      <w:pPr>
        <w:pStyle w:val="a3"/>
        <w:numPr>
          <w:ilvl w:val="0"/>
          <w:numId w:val="1"/>
        </w:numPr>
        <w:spacing w:line="480" w:lineRule="exact"/>
        <w:ind w:leftChars="0" w:left="480" w:hangingChars="200" w:hanging="480"/>
        <w:rPr>
          <w:rFonts w:cstheme="minorBidi"/>
          <w:b/>
        </w:rPr>
      </w:pPr>
      <w:r w:rsidRPr="006E1A94">
        <w:rPr>
          <w:rFonts w:eastAsia="標楷體" w:cs="標楷體" w:hint="eastAsia"/>
          <w:b/>
          <w:kern w:val="0"/>
        </w:rPr>
        <w:t>國民中小學學生成績評量結果，每學期至少應以書面通知家長及學生一次，其方式可包括寄發成績單、利用親師座談會說明、由學生帶回轉交家長等方式，其內容由各校所訂定之成績評量通知單呈現。</w:t>
      </w:r>
      <w:r w:rsidRPr="006E1A94">
        <w:rPr>
          <w:rFonts w:eastAsia="標楷體" w:cstheme="minorBidi"/>
          <w:b/>
          <w:kern w:val="0"/>
        </w:rPr>
        <w:br/>
      </w:r>
      <w:r w:rsidRPr="006E1A94">
        <w:rPr>
          <w:rFonts w:ascii="標楷體" w:eastAsia="標楷體" w:hAnsi="標楷體" w:cs="標楷體" w:hint="eastAsia"/>
          <w:b/>
          <w:bCs/>
        </w:rPr>
        <w:t>學校得公告說明學生分數之分布情形不得公開呈現個別學生在班級及學校排名，個別學生家長如欲掌握其子女之學習成效，可依個人資訊申請方式向學校申請取得其子女之相關資訊。</w:t>
      </w:r>
    </w:p>
    <w:p w:rsidR="000158C5" w:rsidRPr="006E1A94" w:rsidRDefault="000158C5">
      <w:pPr>
        <w:pStyle w:val="a3"/>
        <w:numPr>
          <w:ilvl w:val="0"/>
          <w:numId w:val="1"/>
        </w:numPr>
        <w:spacing w:line="480" w:lineRule="exact"/>
        <w:ind w:leftChars="0" w:left="480" w:hangingChars="200" w:hanging="480"/>
        <w:rPr>
          <w:rFonts w:cstheme="minorBidi"/>
          <w:b/>
        </w:rPr>
      </w:pPr>
      <w:r w:rsidRPr="006E1A94">
        <w:rPr>
          <w:rFonts w:eastAsia="標楷體" w:cs="標楷體" w:hint="eastAsia"/>
          <w:b/>
          <w:kern w:val="0"/>
        </w:rPr>
        <w:t>學生定期評量，因故經准假缺考者准予補考，</w:t>
      </w:r>
      <w:r w:rsidRPr="006E1A94">
        <w:rPr>
          <w:rFonts w:eastAsia="標楷體" w:cs="標楷體" w:hint="eastAsia"/>
          <w:b/>
          <w:bCs/>
          <w:kern w:val="0"/>
        </w:rPr>
        <w:t>成績以實得分數計算為原則</w:t>
      </w:r>
      <w:r w:rsidRPr="006E1A94">
        <w:rPr>
          <w:rFonts w:eastAsia="標楷體" w:cs="標楷體" w:hint="eastAsia"/>
          <w:b/>
          <w:kern w:val="0"/>
        </w:rPr>
        <w:t>；如無故擅自缺考者，不准補考，該次缺考之領域成績以零分計算，</w:t>
      </w:r>
      <w:r w:rsidRPr="006E1A94">
        <w:rPr>
          <w:rFonts w:eastAsia="標楷體" w:cs="標楷體" w:hint="eastAsia"/>
          <w:b/>
          <w:bCs/>
          <w:kern w:val="0"/>
        </w:rPr>
        <w:t>學生定期評量補考方式由各校訂定之。</w:t>
      </w:r>
    </w:p>
    <w:p w:rsidR="000158C5" w:rsidRPr="006E1A94" w:rsidRDefault="000158C5">
      <w:pPr>
        <w:pStyle w:val="a3"/>
        <w:numPr>
          <w:ilvl w:val="0"/>
          <w:numId w:val="1"/>
        </w:numPr>
        <w:spacing w:line="480" w:lineRule="exact"/>
        <w:ind w:leftChars="0" w:left="480" w:hangingChars="200" w:hanging="480"/>
        <w:rPr>
          <w:rFonts w:cstheme="minorBidi"/>
          <w:b/>
        </w:rPr>
      </w:pPr>
      <w:r w:rsidRPr="006E1A94">
        <w:rPr>
          <w:rFonts w:ascii="標楷體" w:eastAsia="標楷體" w:hAnsi="標楷體" w:cs="標楷體" w:hint="eastAsia"/>
          <w:b/>
          <w:kern w:val="0"/>
        </w:rPr>
        <w:t>學生評量成績之記錄及處理，國民小學部分，由各班導師辦理；國民中學部分，學習領域評量由教務處主辦，日常生活表現評量由學務處主辦，授課教師應配合辦理。</w:t>
      </w:r>
      <w:r w:rsidRPr="006E1A94">
        <w:rPr>
          <w:rFonts w:ascii="標楷體" w:eastAsia="標楷體" w:hAnsi="標楷體" w:cstheme="minorBidi"/>
          <w:b/>
          <w:kern w:val="0"/>
        </w:rPr>
        <w:br/>
      </w:r>
      <w:r w:rsidRPr="006E1A94">
        <w:rPr>
          <w:rFonts w:ascii="標楷體" w:eastAsia="標楷體" w:hAnsi="標楷體" w:cs="標楷體" w:hint="eastAsia"/>
          <w:b/>
          <w:bCs/>
        </w:rPr>
        <w:t>學校應確實掌握學生學習狀況，對學習表現欠佳學生，應訂定並落實預警、輔導措施，並研擬學習輔導機制，落實補救教學及相關補救措施；其實施原則，由本府定之。</w:t>
      </w:r>
      <w:r w:rsidRPr="006E1A94">
        <w:rPr>
          <w:rFonts w:ascii="標楷體" w:eastAsia="標楷體" w:hAnsi="標楷體" w:cstheme="minorBidi"/>
          <w:b/>
          <w:bCs/>
        </w:rPr>
        <w:br/>
      </w:r>
      <w:r w:rsidRPr="006E1A94">
        <w:rPr>
          <w:rFonts w:ascii="標楷體" w:eastAsia="標楷體" w:hAnsi="標楷體" w:cs="標楷體" w:hint="eastAsia"/>
          <w:b/>
          <w:bCs/>
        </w:rPr>
        <w:lastRenderedPageBreak/>
        <w:t>學生日常生活表現欠佳者，學校應依教師輔導及管教學生相關規定施以輔導並提供學生改過銷過及功過相抵之機會。</w:t>
      </w:r>
    </w:p>
    <w:p w:rsidR="000158C5" w:rsidRPr="006E1A94" w:rsidRDefault="000158C5">
      <w:pPr>
        <w:pStyle w:val="a3"/>
        <w:numPr>
          <w:ilvl w:val="0"/>
          <w:numId w:val="1"/>
        </w:numPr>
        <w:spacing w:line="480" w:lineRule="exact"/>
        <w:ind w:leftChars="0" w:left="480" w:hangingChars="200" w:hanging="480"/>
        <w:rPr>
          <w:rFonts w:ascii="標楷體" w:eastAsia="標楷體" w:hAnsi="標楷體" w:cstheme="minorBidi"/>
          <w:b/>
          <w:bCs/>
        </w:rPr>
      </w:pPr>
      <w:r w:rsidRPr="006E1A94">
        <w:rPr>
          <w:rFonts w:eastAsia="標楷體" w:cs="標楷體" w:hint="eastAsia"/>
          <w:b/>
        </w:rPr>
        <w:t>本府針對學生成績評量之辦理成立屏東縣國民中小學學生成績評量小組，處理相關疑義及瞭解各校評量實施情形。</w:t>
      </w:r>
    </w:p>
    <w:p w:rsidR="000158C5" w:rsidRPr="006E1A94" w:rsidRDefault="000158C5">
      <w:pPr>
        <w:pStyle w:val="a3"/>
        <w:numPr>
          <w:ilvl w:val="0"/>
          <w:numId w:val="1"/>
        </w:numPr>
        <w:spacing w:line="480" w:lineRule="exact"/>
        <w:ind w:leftChars="0" w:left="480" w:hangingChars="200" w:hanging="480"/>
        <w:rPr>
          <w:rFonts w:ascii="標楷體" w:eastAsia="標楷體" w:hAnsi="標楷體" w:cstheme="minorBidi"/>
          <w:b/>
          <w:bCs/>
        </w:rPr>
      </w:pPr>
      <w:r w:rsidRPr="006E1A94">
        <w:rPr>
          <w:rFonts w:eastAsia="標楷體" w:cs="標楷體" w:hint="eastAsia"/>
          <w:b/>
        </w:rPr>
        <w:t>身心障礙學生之成績評量，各校得依需要彈性調整其評量方式。</w:t>
      </w:r>
    </w:p>
    <w:sectPr w:rsidR="000158C5" w:rsidRPr="006E1A94" w:rsidSect="000158C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378" w:rsidRDefault="001F4378">
      <w:pPr>
        <w:rPr>
          <w:rFonts w:cstheme="minorBidi"/>
        </w:rPr>
      </w:pPr>
      <w:r>
        <w:rPr>
          <w:rFonts w:cstheme="minorBidi"/>
        </w:rPr>
        <w:separator/>
      </w:r>
    </w:p>
  </w:endnote>
  <w:endnote w:type="continuationSeparator" w:id="0">
    <w:p w:rsidR="001F4378" w:rsidRDefault="001F4378">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c..">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378" w:rsidRDefault="001F4378">
      <w:pPr>
        <w:rPr>
          <w:rFonts w:cstheme="minorBidi"/>
        </w:rPr>
      </w:pPr>
      <w:r>
        <w:rPr>
          <w:rFonts w:cstheme="minorBidi"/>
        </w:rPr>
        <w:separator/>
      </w:r>
    </w:p>
  </w:footnote>
  <w:footnote w:type="continuationSeparator" w:id="0">
    <w:p w:rsidR="001F4378" w:rsidRDefault="001F4378">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56468"/>
    <w:multiLevelType w:val="hybridMultilevel"/>
    <w:tmpl w:val="6B7E55EC"/>
    <w:lvl w:ilvl="0" w:tplc="925A2F16">
      <w:start w:val="1"/>
      <w:numFmt w:val="taiwaneseCountingThousand"/>
      <w:lvlText w:val="%1、"/>
      <w:lvlJc w:val="left"/>
      <w:pPr>
        <w:ind w:left="360" w:hanging="360"/>
      </w:pPr>
      <w:rPr>
        <w:rFonts w:ascii="標楷體" w:eastAsia="標楷體" w:hAnsi="標楷體" w:hint="default"/>
        <w:u w:val="none"/>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
    <w:nsid w:val="7A2E1A02"/>
    <w:multiLevelType w:val="hybridMultilevel"/>
    <w:tmpl w:val="7546589A"/>
    <w:lvl w:ilvl="0" w:tplc="C6483142">
      <w:start w:val="1"/>
      <w:numFmt w:val="taiwaneseCountingThousand"/>
      <w:lvlText w:val="%1、"/>
      <w:lvlJc w:val="left"/>
      <w:pPr>
        <w:tabs>
          <w:tab w:val="num" w:pos="480"/>
        </w:tabs>
        <w:ind w:left="480" w:hanging="480"/>
      </w:pPr>
      <w:rPr>
        <w:rFonts w:ascii="Times New Roman" w:hAnsi="Times New Roman" w:cs="Times New Roman" w:hint="eastAsia"/>
      </w:rPr>
    </w:lvl>
    <w:lvl w:ilvl="1" w:tplc="A394D45E">
      <w:start w:val="1"/>
      <w:numFmt w:val="taiwaneseCountingThousand"/>
      <w:lvlText w:val="(%2)"/>
      <w:lvlJc w:val="left"/>
      <w:pPr>
        <w:tabs>
          <w:tab w:val="num" w:pos="1335"/>
        </w:tabs>
        <w:ind w:left="1335" w:hanging="855"/>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50"/>
  <w:doNotHyphenateCaps/>
  <w:drawingGridHorizontalSpacing w:val="120"/>
  <w:displayHorizontalDrawingGridEvery w:val="0"/>
  <w:displayVerticalDrawingGridEvery w:val="2"/>
  <w:characterSpacingControl w:val="compressPunctuation"/>
  <w:noLineBreaksAfter w:lang="zh-TW" w:val="'(57[bcd{£¥‘“‵〈《「『【〔〝︵︷︹︻︽︿﹁﹏﹛﹝（｛"/>
  <w:noLineBreaksBefore w:lang="zh-TW" w:val="!'),.5:;?]c}¢·–—’”•‥…‧′╴、。〉》」』】〕〞︰︱︳︴︶︸︺︼︾﹀﹂﹄﹏﹐﹑﹒﹔﹕﹖﹗﹚﹜﹞！），．：；？］｜｝､"/>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C5"/>
    <w:rsid w:val="000158C5"/>
    <w:rsid w:val="001C28B2"/>
    <w:rsid w:val="001F4378"/>
    <w:rsid w:val="002E77F7"/>
    <w:rsid w:val="003963E3"/>
    <w:rsid w:val="003A2E23"/>
    <w:rsid w:val="004D1404"/>
    <w:rsid w:val="005644BF"/>
    <w:rsid w:val="00650E65"/>
    <w:rsid w:val="006E1A94"/>
    <w:rsid w:val="00777EF1"/>
    <w:rsid w:val="007C21C8"/>
    <w:rsid w:val="008052BE"/>
    <w:rsid w:val="00AD5FFA"/>
    <w:rsid w:val="00B4318A"/>
    <w:rsid w:val="00CD22E6"/>
    <w:rsid w:val="00DF6D5D"/>
    <w:rsid w:val="00F403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B5"/>
    <w:pPr>
      <w:widowControl w:val="0"/>
      <w:ind w:left="284" w:hanging="284"/>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03B5"/>
    <w:pPr>
      <w:ind w:leftChars="200" w:left="480"/>
    </w:pPr>
  </w:style>
  <w:style w:type="paragraph" w:customStyle="1" w:styleId="Default">
    <w:name w:val="Default"/>
    <w:uiPriority w:val="99"/>
    <w:rsid w:val="00F403B5"/>
    <w:pPr>
      <w:widowControl w:val="0"/>
      <w:autoSpaceDE w:val="0"/>
      <w:autoSpaceDN w:val="0"/>
      <w:adjustRightInd w:val="0"/>
    </w:pPr>
    <w:rPr>
      <w:rFonts w:ascii="標楷體c.." w:eastAsia="標楷體c.." w:hAnsi="Times New Roman" w:cs="標楷體c.."/>
      <w:color w:val="000000"/>
      <w:kern w:val="0"/>
      <w:szCs w:val="24"/>
    </w:rPr>
  </w:style>
  <w:style w:type="paragraph" w:styleId="a4">
    <w:name w:val="header"/>
    <w:basedOn w:val="a"/>
    <w:link w:val="a5"/>
    <w:uiPriority w:val="99"/>
    <w:rsid w:val="00F403B5"/>
    <w:pPr>
      <w:tabs>
        <w:tab w:val="center" w:pos="4153"/>
        <w:tab w:val="right" w:pos="8306"/>
      </w:tabs>
      <w:snapToGrid w:val="0"/>
    </w:pPr>
    <w:rPr>
      <w:sz w:val="20"/>
      <w:szCs w:val="20"/>
    </w:rPr>
  </w:style>
  <w:style w:type="character" w:customStyle="1" w:styleId="a5">
    <w:name w:val="頁首 字元"/>
    <w:basedOn w:val="a0"/>
    <w:link w:val="a4"/>
    <w:uiPriority w:val="99"/>
    <w:rsid w:val="00F403B5"/>
    <w:rPr>
      <w:rFonts w:ascii="Times New Roman" w:hAnsi="Times New Roman" w:cs="Times New Roman"/>
      <w:kern w:val="2"/>
    </w:rPr>
  </w:style>
  <w:style w:type="paragraph" w:styleId="a6">
    <w:name w:val="footer"/>
    <w:basedOn w:val="a"/>
    <w:link w:val="a7"/>
    <w:uiPriority w:val="99"/>
    <w:rsid w:val="00F403B5"/>
    <w:pPr>
      <w:tabs>
        <w:tab w:val="center" w:pos="4153"/>
        <w:tab w:val="right" w:pos="8306"/>
      </w:tabs>
      <w:snapToGrid w:val="0"/>
    </w:pPr>
    <w:rPr>
      <w:sz w:val="20"/>
      <w:szCs w:val="20"/>
    </w:rPr>
  </w:style>
  <w:style w:type="character" w:customStyle="1" w:styleId="a7">
    <w:name w:val="頁尾 字元"/>
    <w:basedOn w:val="a0"/>
    <w:link w:val="a6"/>
    <w:uiPriority w:val="99"/>
    <w:rsid w:val="00F403B5"/>
    <w:rPr>
      <w:rFonts w:ascii="Times New Roman" w:hAnsi="Times New Roman"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B5"/>
    <w:pPr>
      <w:widowControl w:val="0"/>
      <w:ind w:left="284" w:hanging="284"/>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03B5"/>
    <w:pPr>
      <w:ind w:leftChars="200" w:left="480"/>
    </w:pPr>
  </w:style>
  <w:style w:type="paragraph" w:customStyle="1" w:styleId="Default">
    <w:name w:val="Default"/>
    <w:uiPriority w:val="99"/>
    <w:rsid w:val="00F403B5"/>
    <w:pPr>
      <w:widowControl w:val="0"/>
      <w:autoSpaceDE w:val="0"/>
      <w:autoSpaceDN w:val="0"/>
      <w:adjustRightInd w:val="0"/>
    </w:pPr>
    <w:rPr>
      <w:rFonts w:ascii="標楷體c.." w:eastAsia="標楷體c.." w:hAnsi="Times New Roman" w:cs="標楷體c.."/>
      <w:color w:val="000000"/>
      <w:kern w:val="0"/>
      <w:szCs w:val="24"/>
    </w:rPr>
  </w:style>
  <w:style w:type="paragraph" w:styleId="a4">
    <w:name w:val="header"/>
    <w:basedOn w:val="a"/>
    <w:link w:val="a5"/>
    <w:uiPriority w:val="99"/>
    <w:rsid w:val="00F403B5"/>
    <w:pPr>
      <w:tabs>
        <w:tab w:val="center" w:pos="4153"/>
        <w:tab w:val="right" w:pos="8306"/>
      </w:tabs>
      <w:snapToGrid w:val="0"/>
    </w:pPr>
    <w:rPr>
      <w:sz w:val="20"/>
      <w:szCs w:val="20"/>
    </w:rPr>
  </w:style>
  <w:style w:type="character" w:customStyle="1" w:styleId="a5">
    <w:name w:val="頁首 字元"/>
    <w:basedOn w:val="a0"/>
    <w:link w:val="a4"/>
    <w:uiPriority w:val="99"/>
    <w:rsid w:val="00F403B5"/>
    <w:rPr>
      <w:rFonts w:ascii="Times New Roman" w:hAnsi="Times New Roman" w:cs="Times New Roman"/>
      <w:kern w:val="2"/>
    </w:rPr>
  </w:style>
  <w:style w:type="paragraph" w:styleId="a6">
    <w:name w:val="footer"/>
    <w:basedOn w:val="a"/>
    <w:link w:val="a7"/>
    <w:uiPriority w:val="99"/>
    <w:rsid w:val="00F403B5"/>
    <w:pPr>
      <w:tabs>
        <w:tab w:val="center" w:pos="4153"/>
        <w:tab w:val="right" w:pos="8306"/>
      </w:tabs>
      <w:snapToGrid w:val="0"/>
    </w:pPr>
    <w:rPr>
      <w:sz w:val="20"/>
      <w:szCs w:val="20"/>
    </w:rPr>
  </w:style>
  <w:style w:type="character" w:customStyle="1" w:styleId="a7">
    <w:name w:val="頁尾 字元"/>
    <w:basedOn w:val="a0"/>
    <w:link w:val="a6"/>
    <w:uiPriority w:val="99"/>
    <w:rsid w:val="00F403B5"/>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780</Characters>
  <Application>Microsoft Office Word</Application>
  <DocSecurity>4</DocSecurity>
  <Lines>6</Lines>
  <Paragraphs>1</Paragraphs>
  <ScaleCrop>false</ScaleCrop>
  <Company>Your Company Name</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Administrator</cp:lastModifiedBy>
  <cp:revision>2</cp:revision>
  <cp:lastPrinted>2015-02-12T01:52:00Z</cp:lastPrinted>
  <dcterms:created xsi:type="dcterms:W3CDTF">2015-02-12T01:53:00Z</dcterms:created>
  <dcterms:modified xsi:type="dcterms:W3CDTF">2015-02-12T01:53:00Z</dcterms:modified>
</cp:coreProperties>
</file>